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424CCB" w14:textId="5B390CD0" w:rsidR="00E43013" w:rsidRPr="00E43013" w:rsidRDefault="00E43013" w:rsidP="00E43013">
      <w:pPr>
        <w:pStyle w:val="OZNPROJEKTUwskazaniedatylubwersjiprojektu"/>
      </w:pPr>
      <w:r w:rsidRPr="00E43013">
        <w:t xml:space="preserve">Projekt z </w:t>
      </w:r>
      <w:r w:rsidR="004808CF">
        <w:t>6 lutego</w:t>
      </w:r>
      <w:r>
        <w:t xml:space="preserve"> </w:t>
      </w:r>
      <w:r w:rsidRPr="00E43013">
        <w:t>202</w:t>
      </w:r>
      <w:r>
        <w:t>6</w:t>
      </w:r>
      <w:r w:rsidRPr="00E43013">
        <w:t xml:space="preserve"> r.</w:t>
      </w:r>
    </w:p>
    <w:p w14:paraId="2088BFA5" w14:textId="77777777" w:rsidR="00E43013" w:rsidRPr="00E43013" w:rsidRDefault="00E43013" w:rsidP="00E43013">
      <w:pPr>
        <w:pStyle w:val="OZNRODZAKTUtznustawalubrozporzdzenieiorganwydajcy"/>
        <w:rPr>
          <w:rFonts w:eastAsia="Times"/>
        </w:rPr>
      </w:pPr>
      <w:r w:rsidRPr="00E43013">
        <w:rPr>
          <w:rFonts w:eastAsia="Times"/>
        </w:rPr>
        <w:t>ROZPORZĄDZENIE</w:t>
      </w:r>
    </w:p>
    <w:p w14:paraId="392CE3C0" w14:textId="77777777" w:rsidR="00E43013" w:rsidRPr="00E43013" w:rsidRDefault="00E43013" w:rsidP="00E43013">
      <w:pPr>
        <w:pStyle w:val="OZNRODZAKTUtznustawalubrozporzdzenieiorganwydajcy"/>
      </w:pPr>
      <w:r w:rsidRPr="00E43013">
        <w:rPr>
          <w:rFonts w:eastAsia="Times"/>
        </w:rPr>
        <w:t>MINISTRA SPRAWIEDLIWOŚCI</w:t>
      </w:r>
    </w:p>
    <w:p w14:paraId="0A2A092E" w14:textId="3D33CFE1" w:rsidR="00E43013" w:rsidRPr="00E43013" w:rsidRDefault="00E43013" w:rsidP="00E43013">
      <w:pPr>
        <w:pStyle w:val="DATAAKTUdatauchwalenialubwydaniaaktu"/>
      </w:pPr>
      <w:r w:rsidRPr="00E43013">
        <w:t>z dnia …</w:t>
      </w:r>
      <w:r>
        <w:t xml:space="preserve"> 2026</w:t>
      </w:r>
      <w:r w:rsidRPr="00E43013">
        <w:t xml:space="preserve"> r.</w:t>
      </w:r>
    </w:p>
    <w:p w14:paraId="09AEE7AE" w14:textId="77777777" w:rsidR="00E43013" w:rsidRPr="00E43013" w:rsidRDefault="00E43013" w:rsidP="00E43013">
      <w:pPr>
        <w:pStyle w:val="TYTUAKTUprzedmiotregulacjiustawylubrozporzdzenia"/>
      </w:pPr>
      <w:r w:rsidRPr="00E43013">
        <w:t xml:space="preserve">w sprawie </w:t>
      </w:r>
      <w:bookmarkStart w:id="0" w:name="_Hlk199422182"/>
      <w:r w:rsidRPr="00E43013">
        <w:t>Krajowego Rejestru Mediatorów</w:t>
      </w:r>
      <w:bookmarkEnd w:id="0"/>
    </w:p>
    <w:p w14:paraId="15FABA02" w14:textId="4E8F7146" w:rsidR="00E43013" w:rsidRPr="00E43013" w:rsidRDefault="00E43013" w:rsidP="00E43013">
      <w:pPr>
        <w:pStyle w:val="NIEARTTEKSTtekstnieartykuowanynppodstprawnarozplubpreambua"/>
      </w:pPr>
      <w:r w:rsidRPr="00E43013">
        <w:t>Na podstawie art. 3</w:t>
      </w:r>
      <w:r w:rsidR="0079503F">
        <w:t>3</w:t>
      </w:r>
      <w:r w:rsidRPr="00E43013">
        <w:t xml:space="preserve"> ust. 4 ustawy z dnia ... o mediatorach sądowych, instytucjach szkolących w zakresie mediacji i Krajowym Rejestrze Mediatorów (Dz. U. poz. ...), zwanej dalej </w:t>
      </w:r>
      <w:r>
        <w:t>„</w:t>
      </w:r>
      <w:r w:rsidRPr="00E43013">
        <w:t>ustawą</w:t>
      </w:r>
      <w:r>
        <w:t>”</w:t>
      </w:r>
      <w:r w:rsidRPr="00E43013">
        <w:t>, zarządza się, co następuje:</w:t>
      </w:r>
    </w:p>
    <w:p w14:paraId="4EBE9041" w14:textId="72486B0E" w:rsidR="00E43013" w:rsidRPr="00E43013" w:rsidRDefault="00E43013" w:rsidP="00E43013">
      <w:pPr>
        <w:pStyle w:val="ARTartustawynprozporzdzenia"/>
        <w:keepNext/>
      </w:pPr>
      <w:r w:rsidRPr="00E43013">
        <w:rPr>
          <w:rStyle w:val="Ppogrubienie"/>
        </w:rPr>
        <w:t>§ 1.</w:t>
      </w:r>
      <w:r>
        <w:t> </w:t>
      </w:r>
      <w:r w:rsidRPr="00E43013">
        <w:t>Rozporządzenie określa:</w:t>
      </w:r>
    </w:p>
    <w:p w14:paraId="7FB0E9EC" w14:textId="34DFD826" w:rsidR="00E43013" w:rsidRPr="00E43013" w:rsidRDefault="00E43013" w:rsidP="00E43013">
      <w:pPr>
        <w:pStyle w:val="PKTpunkt"/>
      </w:pPr>
      <w:r w:rsidRPr="00E43013">
        <w:t>1)</w:t>
      </w:r>
      <w:r>
        <w:tab/>
      </w:r>
      <w:r w:rsidRPr="00E43013">
        <w:t xml:space="preserve">sposób składania wniosku o wpis do Krajowego Rejestru Mediatorów, zwanego dalej </w:t>
      </w:r>
      <w:r>
        <w:t>„</w:t>
      </w:r>
      <w:r w:rsidRPr="00E43013">
        <w:t>Rejestrem</w:t>
      </w:r>
      <w:r>
        <w:t>”</w:t>
      </w:r>
      <w:r w:rsidRPr="00E43013">
        <w:t>;</w:t>
      </w:r>
    </w:p>
    <w:p w14:paraId="410AFA8C" w14:textId="1FC5423A" w:rsidR="00E43013" w:rsidRPr="00E43013" w:rsidRDefault="00E43013" w:rsidP="00E43013">
      <w:pPr>
        <w:pStyle w:val="PKTpunkt"/>
      </w:pPr>
      <w:r w:rsidRPr="00E43013">
        <w:t>2)</w:t>
      </w:r>
      <w:r>
        <w:tab/>
      </w:r>
      <w:r w:rsidRPr="00E43013">
        <w:t xml:space="preserve">sposób wpisywania do Rejestru i wykreślania z niego mediatorów sądowych i instytucji szkolących w zakresie mediacji, zwanych dalej </w:t>
      </w:r>
      <w:r>
        <w:t>„</w:t>
      </w:r>
      <w:r w:rsidRPr="00E43013">
        <w:t>instytucjami szkolącymi</w:t>
      </w:r>
      <w:r>
        <w:t>”</w:t>
      </w:r>
      <w:r w:rsidRPr="00E43013">
        <w:t>, oraz aktualizowania danych zawartych w Rejestrze;</w:t>
      </w:r>
    </w:p>
    <w:p w14:paraId="5D3A916B" w14:textId="742E266E" w:rsidR="00E43013" w:rsidRPr="00E43013" w:rsidRDefault="00E43013" w:rsidP="00E43013">
      <w:pPr>
        <w:pStyle w:val="PKTpunkt"/>
      </w:pPr>
      <w:r w:rsidRPr="00E43013">
        <w:t>3)</w:t>
      </w:r>
      <w:r>
        <w:tab/>
      </w:r>
      <w:r w:rsidRPr="00E43013">
        <w:t>funkcjonalności systemu teleinformatycznego, o którym mowa w art. 24 ust. 1 ustawy;</w:t>
      </w:r>
    </w:p>
    <w:p w14:paraId="2AE9976E" w14:textId="75CC296C" w:rsidR="00E43013" w:rsidRPr="00E43013" w:rsidRDefault="00E43013" w:rsidP="00E43013">
      <w:pPr>
        <w:pStyle w:val="PKTpunkt"/>
      </w:pPr>
      <w:r w:rsidRPr="00E43013">
        <w:t>4)</w:t>
      </w:r>
      <w:r>
        <w:tab/>
      </w:r>
      <w:r w:rsidRPr="00E43013">
        <w:t>kryteria wyszukiwania w Rejestrze mediatorów sądowych oraz instytucji szkolących.</w:t>
      </w:r>
    </w:p>
    <w:p w14:paraId="5E631D78" w14:textId="62EC67B9" w:rsidR="00E43013" w:rsidRPr="00E43013" w:rsidRDefault="00E43013" w:rsidP="00E43013">
      <w:pPr>
        <w:pStyle w:val="ARTartustawynprozporzdzenia"/>
      </w:pPr>
      <w:r w:rsidRPr="00E43013">
        <w:rPr>
          <w:rStyle w:val="Ppogrubienie"/>
        </w:rPr>
        <w:t>§ 2.</w:t>
      </w:r>
      <w:r>
        <w:t> </w:t>
      </w:r>
      <w:r w:rsidRPr="00E43013">
        <w:t>Użyte w rozporządzeniu określenia oznaczają:</w:t>
      </w:r>
    </w:p>
    <w:p w14:paraId="1B6E5B83" w14:textId="22F1315A" w:rsidR="00E43013" w:rsidRPr="00E43013" w:rsidRDefault="00E43013" w:rsidP="00E43013">
      <w:pPr>
        <w:pStyle w:val="PKTpunkt"/>
      </w:pPr>
      <w:r>
        <w:t>1)</w:t>
      </w:r>
      <w:r>
        <w:tab/>
      </w:r>
      <w:r w:rsidRPr="00E43013">
        <w:t>konto – zbiór danych identyfikujących tożsamość użytkownika konta;</w:t>
      </w:r>
    </w:p>
    <w:p w14:paraId="73B97F09" w14:textId="1BD72FC7" w:rsidR="00E43013" w:rsidRPr="00E43013" w:rsidRDefault="00E43013" w:rsidP="00E43013">
      <w:pPr>
        <w:pStyle w:val="PKTpunkt"/>
      </w:pPr>
      <w:r>
        <w:t>2)</w:t>
      </w:r>
      <w:r>
        <w:tab/>
      </w:r>
      <w:r w:rsidRPr="00E43013">
        <w:t>użytkownik konta – osoba fizyczna uprawniona do uwierzytelniania się na danym koncie to jest:</w:t>
      </w:r>
    </w:p>
    <w:p w14:paraId="2E4B834B" w14:textId="0F05F8D7" w:rsidR="00E43013" w:rsidRPr="00E43013" w:rsidRDefault="00E43013" w:rsidP="00E43013">
      <w:pPr>
        <w:pStyle w:val="LITlitera"/>
      </w:pPr>
      <w:r w:rsidRPr="00E43013">
        <w:t>a)</w:t>
      </w:r>
      <w:r>
        <w:tab/>
      </w:r>
      <w:r w:rsidRPr="00E43013">
        <w:t>właściwy miejscowo prezes sądu okręgowego, o którym mowa w art. 5 ust. 1 ustawy lub upoważniony przez niego pracownik,</w:t>
      </w:r>
    </w:p>
    <w:p w14:paraId="21F89403" w14:textId="61BF358F" w:rsidR="00E43013" w:rsidRPr="00E43013" w:rsidRDefault="00E43013" w:rsidP="00E43013">
      <w:pPr>
        <w:pStyle w:val="LITlitera"/>
      </w:pPr>
      <w:r w:rsidRPr="00E43013">
        <w:t>b)</w:t>
      </w:r>
      <w:r>
        <w:tab/>
      </w:r>
      <w:r w:rsidRPr="00E43013">
        <w:t>Minister Sprawiedliwości lub upoważniona przez niego osoba;</w:t>
      </w:r>
    </w:p>
    <w:p w14:paraId="585300AB" w14:textId="5207E341" w:rsidR="00E43013" w:rsidRPr="00E43013" w:rsidRDefault="00E43013" w:rsidP="00E43013">
      <w:pPr>
        <w:pStyle w:val="LITlitera"/>
      </w:pPr>
      <w:r w:rsidRPr="00E43013">
        <w:t>c)</w:t>
      </w:r>
      <w:r>
        <w:tab/>
      </w:r>
      <w:r w:rsidRPr="00E43013">
        <w:t>mediator sądowy, o którym mowa w art. … ust. … ustawy,</w:t>
      </w:r>
    </w:p>
    <w:p w14:paraId="034D8833" w14:textId="67EF6CD2" w:rsidR="00E43013" w:rsidRPr="00E43013" w:rsidRDefault="00E43013" w:rsidP="00E43013">
      <w:pPr>
        <w:pStyle w:val="LITlitera"/>
      </w:pPr>
      <w:r w:rsidRPr="00E43013">
        <w:t>d)</w:t>
      </w:r>
      <w:r>
        <w:tab/>
      </w:r>
      <w:r w:rsidRPr="00E43013">
        <w:t xml:space="preserve">osoba reprezentująca instytucję szkolącą, o której mowa w art. </w:t>
      </w:r>
      <w:r>
        <w:t>…</w:t>
      </w:r>
      <w:r w:rsidRPr="00E43013">
        <w:t xml:space="preserve"> ustawy;</w:t>
      </w:r>
    </w:p>
    <w:p w14:paraId="506ECB77" w14:textId="08E9203B" w:rsidR="00E43013" w:rsidRPr="00E43013" w:rsidRDefault="00E43013" w:rsidP="00E43013">
      <w:pPr>
        <w:pStyle w:val="PKTpunkt"/>
      </w:pPr>
      <w:r>
        <w:t>3)</w:t>
      </w:r>
      <w:r>
        <w:tab/>
      </w:r>
      <w:r w:rsidRPr="00E43013">
        <w:t>nazwa użytkownika – niepowtarzalny identyfikator użytkownika konta;</w:t>
      </w:r>
    </w:p>
    <w:p w14:paraId="45808440" w14:textId="34644C47" w:rsidR="00E43013" w:rsidRPr="00E43013" w:rsidRDefault="00E43013" w:rsidP="00E43013">
      <w:pPr>
        <w:pStyle w:val="PKTpunkt"/>
      </w:pPr>
      <w:r>
        <w:t>4)</w:t>
      </w:r>
      <w:r>
        <w:tab/>
      </w:r>
      <w:r w:rsidRPr="00E43013">
        <w:t>hasło – poufne dane służące do uwierzytelnienia się użytkownika.</w:t>
      </w:r>
    </w:p>
    <w:p w14:paraId="6E5E6AEE" w14:textId="009F1333" w:rsidR="00E43013" w:rsidRPr="00E43013" w:rsidRDefault="00E43013" w:rsidP="00E43013">
      <w:pPr>
        <w:pStyle w:val="ARTartustawynprozporzdzenia"/>
      </w:pPr>
      <w:r w:rsidRPr="00E43013">
        <w:rPr>
          <w:rStyle w:val="Ppogrubienie"/>
        </w:rPr>
        <w:t>§ 3.</w:t>
      </w:r>
      <w:r>
        <w:t> </w:t>
      </w:r>
      <w:r w:rsidRPr="00E43013">
        <w:t>1.</w:t>
      </w:r>
      <w:r>
        <w:t> </w:t>
      </w:r>
      <w:r w:rsidRPr="00E43013">
        <w:t>Uzyskanie dostępu do systemu teleinformatycznego następuje po uwierzytelnieniu na koncie użytkownika.</w:t>
      </w:r>
    </w:p>
    <w:p w14:paraId="37392AF1" w14:textId="78967EDF" w:rsidR="00E43013" w:rsidRPr="00E43013" w:rsidRDefault="00E43013" w:rsidP="00E43013">
      <w:pPr>
        <w:pStyle w:val="USTustnpkodeksu"/>
      </w:pPr>
      <w:r w:rsidRPr="00E43013">
        <w:t>2.</w:t>
      </w:r>
      <w:r>
        <w:t> </w:t>
      </w:r>
      <w:r w:rsidRPr="00E43013">
        <w:t>Uwierzytelnienie następuje po podaniu nazwy użytkownika i hasła.</w:t>
      </w:r>
    </w:p>
    <w:p w14:paraId="27312A68" w14:textId="0F3A7463" w:rsidR="00E43013" w:rsidRPr="00E43013" w:rsidRDefault="00E43013" w:rsidP="00E43013">
      <w:pPr>
        <w:pStyle w:val="ARTartustawynprozporzdzenia"/>
        <w:keepNext/>
      </w:pPr>
      <w:r w:rsidRPr="00E43013">
        <w:rPr>
          <w:rStyle w:val="Ppogrubienie"/>
        </w:rPr>
        <w:lastRenderedPageBreak/>
        <w:t>§ 4.</w:t>
      </w:r>
      <w:r>
        <w:t> </w:t>
      </w:r>
      <w:r w:rsidRPr="00E43013">
        <w:t>1.</w:t>
      </w:r>
      <w:r>
        <w:t> </w:t>
      </w:r>
      <w:r w:rsidRPr="00E43013">
        <w:t>Do założenia konta użytkownika w systemie teleinformatycznym jest wymagane:</w:t>
      </w:r>
    </w:p>
    <w:p w14:paraId="24349CDE" w14:textId="50813A3F" w:rsidR="00E43013" w:rsidRPr="00E43013" w:rsidRDefault="00E43013" w:rsidP="00E43013">
      <w:pPr>
        <w:pStyle w:val="PKTpunkt"/>
      </w:pPr>
      <w:r w:rsidRPr="00E43013">
        <w:t>1)</w:t>
      </w:r>
      <w:r>
        <w:tab/>
      </w:r>
      <w:r w:rsidRPr="00E43013">
        <w:t>podanie imion i nazwiska, numeru PESEL oraz w odniesieniu do użytkowników, o których mowa w § 2 pkt 2 lit. a, wskazanie właściwego sądu okręgowego, w którym użytkownik będzie wykonywał czynności związane z obowiązkiem wpisu mediatora sądowego lub instytucji szkolącej do Rejestru;</w:t>
      </w:r>
    </w:p>
    <w:p w14:paraId="1172B643" w14:textId="23A30776" w:rsidR="00E43013" w:rsidRPr="00E43013" w:rsidRDefault="00E43013" w:rsidP="00E43013">
      <w:pPr>
        <w:pStyle w:val="PKTpunkt"/>
      </w:pPr>
      <w:r w:rsidRPr="00E43013">
        <w:t>2)</w:t>
      </w:r>
      <w:r>
        <w:tab/>
      </w:r>
      <w:r w:rsidRPr="00E43013">
        <w:t>wskazanie hasła umożliwiającego uwierzytelnienie.</w:t>
      </w:r>
    </w:p>
    <w:p w14:paraId="78C6D1FF" w14:textId="0A959B38" w:rsidR="00E43013" w:rsidRPr="00E43013" w:rsidRDefault="00E43013" w:rsidP="00E43013">
      <w:pPr>
        <w:pStyle w:val="USTustnpkodeksu"/>
      </w:pPr>
      <w:r w:rsidRPr="00E43013">
        <w:t>2.</w:t>
      </w:r>
      <w:r>
        <w:t> </w:t>
      </w:r>
      <w:r w:rsidRPr="00E43013">
        <w:t>Warunki, jakie powinno spełniać hasło, o którym mowa w ust. 1 pkt 2, są podane przed przystąpieniem do zakładania konta użytkownika konta za pośrednictwem systemu teleinformatycznego.</w:t>
      </w:r>
    </w:p>
    <w:p w14:paraId="7E732389" w14:textId="7A7BBF96" w:rsidR="00E43013" w:rsidRPr="00E43013" w:rsidRDefault="00E43013" w:rsidP="00E43013">
      <w:pPr>
        <w:pStyle w:val="USTustnpkodeksu"/>
      </w:pPr>
      <w:r w:rsidRPr="00E43013">
        <w:t>3.</w:t>
      </w:r>
      <w:r>
        <w:t> </w:t>
      </w:r>
      <w:r w:rsidRPr="00E43013">
        <w:t>Użytkownik konta jest uprawniony do zmiany hasła za pośrednictwem systemu teleinformatycznego.</w:t>
      </w:r>
    </w:p>
    <w:p w14:paraId="2227415F" w14:textId="3AA7A597" w:rsidR="00E43013" w:rsidRPr="00E43013" w:rsidRDefault="00E43013" w:rsidP="00E43013">
      <w:pPr>
        <w:pStyle w:val="ARTartustawynprozporzdzenia"/>
      </w:pPr>
      <w:r w:rsidRPr="00E43013">
        <w:rPr>
          <w:rStyle w:val="Ppogrubienie"/>
        </w:rPr>
        <w:t>§ 5.</w:t>
      </w:r>
      <w:r>
        <w:t> </w:t>
      </w:r>
      <w:r w:rsidRPr="00E43013">
        <w:t>Wpisu do Rejestru i wykreślenia z niego oraz aktualizacji danych zawartych w Rejestrze dokonuje użytkownik konta, o którym mowa w § 2 pkt 2 lit. a lub b, za pośrednictwem funkcji udostępnionych przez system teleinformatyczny.</w:t>
      </w:r>
    </w:p>
    <w:p w14:paraId="5703A410" w14:textId="34F782F6" w:rsidR="00E43013" w:rsidRPr="00E43013" w:rsidRDefault="00E43013" w:rsidP="00E43013">
      <w:pPr>
        <w:pStyle w:val="ARTartustawynprozporzdzenia"/>
        <w:keepNext/>
      </w:pPr>
      <w:r w:rsidRPr="00E43013">
        <w:rPr>
          <w:rStyle w:val="Ppogrubienie"/>
        </w:rPr>
        <w:t>§ 6.</w:t>
      </w:r>
      <w:r>
        <w:t> </w:t>
      </w:r>
      <w:r w:rsidRPr="00E43013">
        <w:t>1.</w:t>
      </w:r>
      <w:r>
        <w:t> </w:t>
      </w:r>
      <w:r w:rsidRPr="00E43013">
        <w:t>Wpis mediatora sądowego lub instytucji szkolącej do Rejestru następuje przez:</w:t>
      </w:r>
    </w:p>
    <w:p w14:paraId="41B9EFC0" w14:textId="67AB2093" w:rsidR="00E43013" w:rsidRPr="00E43013" w:rsidRDefault="00E43013" w:rsidP="00E43013">
      <w:pPr>
        <w:pStyle w:val="PKTpunkt"/>
      </w:pPr>
      <w:r w:rsidRPr="00E43013">
        <w:t>1)</w:t>
      </w:r>
      <w:r>
        <w:tab/>
      </w:r>
      <w:r w:rsidRPr="00E43013">
        <w:t>uwierzytelnienie się użytkownika konta, o którym mowa w § 2 pkt 2 lit. a lub b;</w:t>
      </w:r>
    </w:p>
    <w:p w14:paraId="152F6ED8" w14:textId="445FA871" w:rsidR="00E43013" w:rsidRPr="00E43013" w:rsidRDefault="00E43013" w:rsidP="00E43013">
      <w:pPr>
        <w:pStyle w:val="PKTpunkt"/>
      </w:pPr>
      <w:r w:rsidRPr="00E43013">
        <w:t>2)</w:t>
      </w:r>
      <w:r>
        <w:tab/>
      </w:r>
      <w:r w:rsidRPr="00E43013">
        <w:t>dokonanie wpisu w systemie teleinformatycznym;</w:t>
      </w:r>
    </w:p>
    <w:p w14:paraId="57BC22FE" w14:textId="03E54E42" w:rsidR="00E43013" w:rsidRPr="00E43013" w:rsidRDefault="00E43013" w:rsidP="00E43013">
      <w:pPr>
        <w:pStyle w:val="PKTpunkt"/>
      </w:pPr>
      <w:r w:rsidRPr="00E43013">
        <w:t>3)</w:t>
      </w:r>
      <w:r>
        <w:tab/>
      </w:r>
      <w:r w:rsidRPr="00E43013">
        <w:t>potwierdzenie zakończenia dokonywania wpisu.</w:t>
      </w:r>
    </w:p>
    <w:p w14:paraId="679751E6" w14:textId="5882AB21" w:rsidR="00E43013" w:rsidRPr="00E43013" w:rsidRDefault="00E43013" w:rsidP="00E43013">
      <w:pPr>
        <w:pStyle w:val="USTustnpkodeksu"/>
      </w:pPr>
      <w:r w:rsidRPr="00E43013">
        <w:t>2.</w:t>
      </w:r>
      <w:r>
        <w:t> </w:t>
      </w:r>
      <w:r w:rsidRPr="00E43013">
        <w:t>Przed potwierdzeniem, o którym mowa w ust. 1 pkt 3, system teleinformatyczny umożliwia weryfikację wprowadzonych danych i zapoznanie się z całością wpisu.</w:t>
      </w:r>
    </w:p>
    <w:p w14:paraId="332DC66A" w14:textId="2D160A7F" w:rsidR="00E43013" w:rsidRPr="00E43013" w:rsidRDefault="00E43013" w:rsidP="00E43013">
      <w:pPr>
        <w:pStyle w:val="ARTartustawynprozporzdzenia"/>
      </w:pPr>
      <w:r w:rsidRPr="00E43013">
        <w:rPr>
          <w:rStyle w:val="Ppogrubienie"/>
        </w:rPr>
        <w:t>§ 7.</w:t>
      </w:r>
      <w:r>
        <w:t> </w:t>
      </w:r>
      <w:r w:rsidRPr="00E43013">
        <w:t>1.</w:t>
      </w:r>
      <w:r>
        <w:t> </w:t>
      </w:r>
      <w:r w:rsidRPr="00E43013">
        <w:t>Dane dotyczące obszaru działania lub specjalizacji mediatora sądowego są zamieszczane w Rejestrze przez dokonanie wyboru obszarów działania lub specjalizacji z udostępnionej listy obszarów działania oraz listy specjalizacji.</w:t>
      </w:r>
    </w:p>
    <w:p w14:paraId="7E218C86" w14:textId="34593BEC" w:rsidR="00E43013" w:rsidRPr="00E43013" w:rsidRDefault="00E43013" w:rsidP="00E43013">
      <w:pPr>
        <w:pStyle w:val="USTustnpkodeksu"/>
      </w:pPr>
      <w:r w:rsidRPr="00E43013">
        <w:t>2.</w:t>
      </w:r>
      <w:r>
        <w:t> </w:t>
      </w:r>
      <w:r w:rsidRPr="00E43013">
        <w:t>W przypadku, gdy mediator sądowy prowadzi mediacje w więcej niż jednej specjalizacji, w Rejestrze zamieszcza się informację o wszystkich specjalizacjach mediatora.</w:t>
      </w:r>
    </w:p>
    <w:p w14:paraId="6818DD79" w14:textId="1B00E23E" w:rsidR="00E43013" w:rsidRPr="00E43013" w:rsidRDefault="00E43013" w:rsidP="00E43013">
      <w:pPr>
        <w:pStyle w:val="ARTartustawynprozporzdzenia"/>
        <w:keepNext/>
      </w:pPr>
      <w:r w:rsidRPr="00E43013">
        <w:rPr>
          <w:rStyle w:val="Ppogrubienie"/>
        </w:rPr>
        <w:t>§ 8.</w:t>
      </w:r>
      <w:r>
        <w:t> </w:t>
      </w:r>
      <w:r w:rsidRPr="00E43013">
        <w:t>System teleinformatyczny:</w:t>
      </w:r>
    </w:p>
    <w:p w14:paraId="1CF56145" w14:textId="31FB3F20" w:rsidR="00E43013" w:rsidRPr="00E43013" w:rsidRDefault="00E43013" w:rsidP="00E43013">
      <w:pPr>
        <w:pStyle w:val="PKTpunkt"/>
      </w:pPr>
      <w:r w:rsidRPr="00E43013">
        <w:t>1)</w:t>
      </w:r>
      <w:r>
        <w:tab/>
      </w:r>
      <w:r w:rsidRPr="00E43013">
        <w:t>zawiera informację o konkretnym użytkowniku konta, który daną czynności wykonał w systemie teleinformatycznym;</w:t>
      </w:r>
    </w:p>
    <w:p w14:paraId="0CA166A4" w14:textId="49C4C64F" w:rsidR="00E43013" w:rsidRPr="00E43013" w:rsidRDefault="00E43013" w:rsidP="00E43013">
      <w:pPr>
        <w:pStyle w:val="PKTpunkt"/>
      </w:pPr>
      <w:r w:rsidRPr="00E43013">
        <w:t>2)</w:t>
      </w:r>
      <w:r>
        <w:tab/>
      </w:r>
      <w:r w:rsidRPr="00E43013">
        <w:t>umożliwia wydruk informacji o mediatorach sądowych lub instytucjach szkolących zamieszczonych w Rejestrze.</w:t>
      </w:r>
    </w:p>
    <w:p w14:paraId="26EB5B80" w14:textId="4FDA8227" w:rsidR="00E43013" w:rsidRPr="00E43013" w:rsidRDefault="00E43013" w:rsidP="00E43013">
      <w:pPr>
        <w:pStyle w:val="ARTartustawynprozporzdzenia"/>
        <w:keepNext/>
      </w:pPr>
      <w:r w:rsidRPr="00E43013">
        <w:rPr>
          <w:rStyle w:val="Ppogrubienie"/>
        </w:rPr>
        <w:lastRenderedPageBreak/>
        <w:t>§ 9.</w:t>
      </w:r>
      <w:r>
        <w:t> </w:t>
      </w:r>
      <w:r w:rsidRPr="00E43013">
        <w:t>1.</w:t>
      </w:r>
      <w:r>
        <w:t> </w:t>
      </w:r>
      <w:r w:rsidRPr="00E43013">
        <w:t>Wyszukiwanie mediatora sądowego w Rejestrze może być przeprowadzone według następujących kryteriów:</w:t>
      </w:r>
    </w:p>
    <w:p w14:paraId="2E2200A3" w14:textId="1007D517" w:rsidR="00E43013" w:rsidRPr="00E43013" w:rsidRDefault="00E43013" w:rsidP="00E43013">
      <w:pPr>
        <w:pStyle w:val="PKTpunkt"/>
      </w:pPr>
      <w:r w:rsidRPr="00E43013">
        <w:t>1)</w:t>
      </w:r>
      <w:r>
        <w:tab/>
      </w:r>
      <w:r w:rsidRPr="00E43013">
        <w:t>imienia i nazwiska;</w:t>
      </w:r>
    </w:p>
    <w:p w14:paraId="697F3D76" w14:textId="1ECA0CBC" w:rsidR="00E43013" w:rsidRPr="00E43013" w:rsidRDefault="00E43013" w:rsidP="00E43013">
      <w:pPr>
        <w:pStyle w:val="PKTpunkt"/>
      </w:pPr>
      <w:r w:rsidRPr="00E43013">
        <w:t>2)</w:t>
      </w:r>
      <w:r>
        <w:tab/>
      </w:r>
      <w:r w:rsidRPr="00E43013">
        <w:t>specjalizacji;</w:t>
      </w:r>
    </w:p>
    <w:p w14:paraId="5165C650" w14:textId="57D33320" w:rsidR="00E43013" w:rsidRPr="00E43013" w:rsidRDefault="00E43013" w:rsidP="00E43013">
      <w:pPr>
        <w:pStyle w:val="PKTpunkt"/>
      </w:pPr>
      <w:r w:rsidRPr="00E43013">
        <w:t>3)</w:t>
      </w:r>
      <w:r>
        <w:tab/>
      </w:r>
      <w:r w:rsidRPr="00E43013">
        <w:t>adresu do korespondencji;</w:t>
      </w:r>
    </w:p>
    <w:p w14:paraId="4875BADC" w14:textId="7C7FCE69" w:rsidR="00E43013" w:rsidRPr="00E43013" w:rsidRDefault="00E43013" w:rsidP="00E43013">
      <w:pPr>
        <w:pStyle w:val="PKTpunkt"/>
      </w:pPr>
      <w:r w:rsidRPr="00E43013">
        <w:t>4)</w:t>
      </w:r>
      <w:r>
        <w:tab/>
      </w:r>
      <w:r w:rsidRPr="00E43013">
        <w:t>obszaru działania odpowiadającego właściwości miejscowej sądu okręgowego;</w:t>
      </w:r>
    </w:p>
    <w:p w14:paraId="678E74EB" w14:textId="03492FE2" w:rsidR="00E43013" w:rsidRPr="00E43013" w:rsidRDefault="00E43013" w:rsidP="00E43013">
      <w:pPr>
        <w:pStyle w:val="PKTpunkt"/>
      </w:pPr>
      <w:r w:rsidRPr="00E43013">
        <w:t>5)</w:t>
      </w:r>
      <w:r>
        <w:tab/>
      </w:r>
      <w:r w:rsidRPr="00E43013">
        <w:t>prowadzenia mediacji w innych językach niż język polski;</w:t>
      </w:r>
    </w:p>
    <w:p w14:paraId="5F2843E5" w14:textId="109A4081" w:rsidR="00E43013" w:rsidRPr="00E43013" w:rsidRDefault="00E43013" w:rsidP="00E43013">
      <w:pPr>
        <w:pStyle w:val="PKTpunkt"/>
      </w:pPr>
      <w:r w:rsidRPr="00E43013">
        <w:t>6)</w:t>
      </w:r>
      <w:r>
        <w:tab/>
      </w:r>
      <w:r w:rsidRPr="00E43013">
        <w:t>formy prowadzenia mediacji.</w:t>
      </w:r>
    </w:p>
    <w:p w14:paraId="26C190F1" w14:textId="63CCE64E" w:rsidR="00E43013" w:rsidRPr="00E43013" w:rsidRDefault="00E43013" w:rsidP="00E43013">
      <w:pPr>
        <w:pStyle w:val="USTustnpkodeksu"/>
        <w:keepNext/>
      </w:pPr>
      <w:r w:rsidRPr="00E43013">
        <w:t>2.</w:t>
      </w:r>
      <w:r>
        <w:t> </w:t>
      </w:r>
      <w:r w:rsidRPr="00E43013">
        <w:t>Wyszukiwanie instytucji szkolącej w Rejestrze może być przeprowadzone według następujących kryteriów:</w:t>
      </w:r>
    </w:p>
    <w:p w14:paraId="6AE244D7" w14:textId="587ACAB8" w:rsidR="00E43013" w:rsidRPr="00E43013" w:rsidRDefault="00E43013" w:rsidP="00E43013">
      <w:pPr>
        <w:pStyle w:val="PKTpunkt"/>
      </w:pPr>
      <w:r w:rsidRPr="00E43013">
        <w:t>1)</w:t>
      </w:r>
      <w:r>
        <w:tab/>
      </w:r>
      <w:r w:rsidRPr="00E43013">
        <w:t>nazwy lub firmy;</w:t>
      </w:r>
    </w:p>
    <w:p w14:paraId="0577DD67" w14:textId="4ED05C97" w:rsidR="00E43013" w:rsidRPr="00E43013" w:rsidRDefault="00E43013" w:rsidP="00E43013">
      <w:pPr>
        <w:pStyle w:val="PKTpunkt"/>
      </w:pPr>
      <w:r w:rsidRPr="00E43013">
        <w:t>2)</w:t>
      </w:r>
      <w:r>
        <w:tab/>
      </w:r>
      <w:r w:rsidRPr="00E43013">
        <w:t>adresu siedziby;</w:t>
      </w:r>
    </w:p>
    <w:p w14:paraId="62755E1B" w14:textId="15630410" w:rsidR="00E43013" w:rsidRPr="00E43013" w:rsidRDefault="00E43013" w:rsidP="00E43013">
      <w:pPr>
        <w:pStyle w:val="PKTpunkt"/>
      </w:pPr>
      <w:r w:rsidRPr="00E43013">
        <w:t>3)</w:t>
      </w:r>
      <w:r>
        <w:tab/>
      </w:r>
      <w:r w:rsidRPr="00E43013">
        <w:t>rodzaju prowadzonych szkoleń i przeprowadzanych egzaminów specjalizacyjnych.</w:t>
      </w:r>
    </w:p>
    <w:p w14:paraId="4BA819A9" w14:textId="0EA2DA0F" w:rsidR="00E43013" w:rsidRPr="00E43013" w:rsidRDefault="00E43013" w:rsidP="00E43013">
      <w:pPr>
        <w:pStyle w:val="USTustnpkodeksu"/>
      </w:pPr>
      <w:r w:rsidRPr="00E43013">
        <w:t>3.</w:t>
      </w:r>
      <w:r>
        <w:t> </w:t>
      </w:r>
      <w:r w:rsidRPr="00E43013">
        <w:t>Kryteria, o których mowa w ust. 1 i 2, mogą być stosowane łącznie.</w:t>
      </w:r>
    </w:p>
    <w:p w14:paraId="0AED38CC" w14:textId="04F4F9CF" w:rsidR="00E43013" w:rsidRPr="00E43013" w:rsidRDefault="00E43013" w:rsidP="00E43013">
      <w:pPr>
        <w:pStyle w:val="USTustnpkodeksu"/>
      </w:pPr>
      <w:r w:rsidRPr="00E43013">
        <w:t>4.</w:t>
      </w:r>
      <w:r>
        <w:t> </w:t>
      </w:r>
      <w:r w:rsidRPr="00E43013">
        <w:t>W wyniku wyszukiwania ujawnia się kryteria, na podstawie których miało miejsce wyszukiwanie.</w:t>
      </w:r>
    </w:p>
    <w:p w14:paraId="49A899C3" w14:textId="29F630D4" w:rsidR="00E43013" w:rsidRPr="00E43013" w:rsidRDefault="00E43013" w:rsidP="00E43013">
      <w:pPr>
        <w:pStyle w:val="ARTartustawynprozporzdzenia"/>
      </w:pPr>
      <w:r w:rsidRPr="00E43013">
        <w:rPr>
          <w:rStyle w:val="Ppogrubienie"/>
        </w:rPr>
        <w:t>§ 10.</w:t>
      </w:r>
      <w:r>
        <w:t> </w:t>
      </w:r>
      <w:r w:rsidRPr="00E43013">
        <w:t xml:space="preserve">Rozporządzenie wchodzi w życie z dniem </w:t>
      </w:r>
      <w:r>
        <w:t>1 stycznia 2027 r.</w:t>
      </w:r>
    </w:p>
    <w:p w14:paraId="641FBBC2" w14:textId="38FEBA56" w:rsidR="00E43013" w:rsidRPr="00E43013" w:rsidRDefault="00E43013" w:rsidP="00E43013">
      <w:pPr>
        <w:pStyle w:val="NAZORGWYDnazwaorganuwydajcegoprojektowanyakt"/>
        <w:rPr>
          <w:rFonts w:eastAsia="Times"/>
        </w:rPr>
      </w:pPr>
      <w:r w:rsidRPr="00E43013">
        <w:rPr>
          <w:rFonts w:eastAsia="Times"/>
        </w:rPr>
        <w:t>Minister Sprawiedliwości</w:t>
      </w:r>
    </w:p>
    <w:p w14:paraId="3072ED3A" w14:textId="77777777" w:rsidR="00E43013" w:rsidRPr="00E43013" w:rsidRDefault="00E43013" w:rsidP="00E43013">
      <w:r w:rsidRPr="00E43013">
        <w:br w:type="page"/>
      </w:r>
    </w:p>
    <w:p w14:paraId="44038530" w14:textId="77777777" w:rsidR="00E43013" w:rsidRPr="00E43013" w:rsidRDefault="00E43013" w:rsidP="00E43013">
      <w:pPr>
        <w:pStyle w:val="OZNRODZAKTUtznustawalubrozporzdzenieiorganwydajcy"/>
        <w:rPr>
          <w:rFonts w:eastAsia="Times"/>
        </w:rPr>
      </w:pPr>
      <w:r w:rsidRPr="00E43013">
        <w:rPr>
          <w:rFonts w:eastAsia="Times"/>
        </w:rPr>
        <w:lastRenderedPageBreak/>
        <w:t>UZASADNIENIE</w:t>
      </w:r>
    </w:p>
    <w:p w14:paraId="56196857" w14:textId="6E9EE4B1" w:rsidR="00E43013" w:rsidRPr="00E43013" w:rsidRDefault="00E43013" w:rsidP="00E43013">
      <w:pPr>
        <w:pStyle w:val="NIEARTTEKSTtekstnieartykuowanynppodstprawnarozplubpreambua"/>
      </w:pPr>
      <w:r w:rsidRPr="00E43013">
        <w:t xml:space="preserve">Projektowane rozporządzenie stanowi </w:t>
      </w:r>
      <w:r w:rsidR="00A119E2">
        <w:t>wykonanie</w:t>
      </w:r>
      <w:r w:rsidRPr="00E43013">
        <w:t xml:space="preserve"> upoważnienia ustawowego </w:t>
      </w:r>
      <w:r w:rsidR="00A119E2">
        <w:t>określonego w</w:t>
      </w:r>
      <w:r w:rsidRPr="00E43013">
        <w:t xml:space="preserve"> art. </w:t>
      </w:r>
      <w:r w:rsidR="0079503F">
        <w:t xml:space="preserve">33 ust. 4 </w:t>
      </w:r>
      <w:r w:rsidRPr="00E43013">
        <w:t>ustawy o mediatorach sądowych, instytucjach szkolących w</w:t>
      </w:r>
      <w:r w:rsidR="0079503F">
        <w:t> </w:t>
      </w:r>
      <w:r w:rsidRPr="00E43013">
        <w:t>zakresie mediacji i</w:t>
      </w:r>
      <w:r w:rsidR="00A119E2">
        <w:t> </w:t>
      </w:r>
      <w:r w:rsidRPr="00E43013">
        <w:t xml:space="preserve"> Krajowym Rejestrze Mediatorów.</w:t>
      </w:r>
    </w:p>
    <w:p w14:paraId="27C4ACA5" w14:textId="77777777" w:rsidR="00E43013" w:rsidRPr="00E43013" w:rsidRDefault="00E43013" w:rsidP="00E43013">
      <w:pPr>
        <w:pStyle w:val="NIEARTTEKSTtekstnieartykuowanynppodstprawnarozplubpreambua"/>
      </w:pPr>
      <w:r w:rsidRPr="00E43013">
        <w:t>Rozporządzenie określa sposób dokonywania wpisów i wykreślenia wpisów mediatorów sądowych oraz instytucji szkolących w zakresie mediacji w Krajowym Rejestrze Mediatorów; sposób uwierzytelniania użytkownika konta; funkcjonalności systemu teleinformatycznego, w ramach którego prowadzony jest Krajowy Rejestr Mediatorów; kryteria wyszukiwania mediatorów sądowych oraz instytucji szkolących w zakresie mediacji w Rejestrze, a także sposób dokonywania zmiany wpisu w Rejestrze.</w:t>
      </w:r>
    </w:p>
    <w:p w14:paraId="3F200404" w14:textId="77777777" w:rsidR="00E43013" w:rsidRPr="00E43013" w:rsidRDefault="00E43013" w:rsidP="00E43013">
      <w:pPr>
        <w:pStyle w:val="NIEARTTEKSTtekstnieartykuowanynppodstprawnarozplubpreambua"/>
      </w:pPr>
      <w:r w:rsidRPr="00E43013">
        <w:t>W § 2 projektu na potrzeby przedmiotowego rozporządzenia zawarto legalne definicje pojęć: pojęć użytkownik konta, konto, nazwa użytkownika i hasło.</w:t>
      </w:r>
    </w:p>
    <w:p w14:paraId="4A46F1A2" w14:textId="77777777" w:rsidR="00E43013" w:rsidRPr="00E43013" w:rsidRDefault="00E43013" w:rsidP="00E43013">
      <w:pPr>
        <w:pStyle w:val="NIEARTTEKSTtekstnieartykuowanynppodstprawnarozplubpreambua"/>
      </w:pPr>
      <w:r w:rsidRPr="00E43013">
        <w:t>Projekt określa sposób dokonywania wpisów w Rejestrze. Zasady tworzenia kont użytkowników (proj. § 5) oraz sposób uwierzytelnienia na koncie użytkownika. Określono również wymagania do założenia konta użytkownika w systemie teleinformatycznym.</w:t>
      </w:r>
    </w:p>
    <w:p w14:paraId="1EB0A813" w14:textId="77777777" w:rsidR="00E43013" w:rsidRPr="00E43013" w:rsidRDefault="00E43013" w:rsidP="00E43013">
      <w:pPr>
        <w:pStyle w:val="NIEARTTEKSTtekstnieartykuowanynppodstprawnarozplubpreambua"/>
      </w:pPr>
      <w:r w:rsidRPr="00E43013">
        <w:t>W § 7 projektu przewidziano sposób dokonywania wpisu w Rejestrze, co następować będzie poprzez uwierzytelnienie się na koncie przypisanym danemu użytkownikowi konta, dokonanie wpisu i potwierdzenie zakończenia dokonywania wpisu.</w:t>
      </w:r>
    </w:p>
    <w:p w14:paraId="7A2C9AAB" w14:textId="701B3751" w:rsidR="00E43013" w:rsidRPr="00E43013" w:rsidRDefault="00E43013" w:rsidP="00E43013">
      <w:pPr>
        <w:pStyle w:val="NIEARTTEKSTtekstnieartykuowanynppodstprawnarozplubpreambua"/>
      </w:pPr>
      <w:r w:rsidRPr="00E43013">
        <w:t xml:space="preserve">Mając na uwadze sytuacje losowe powodujące, że mediator sądowy może, z różnych przyczyn, czasowo nie prowadzić mediacji – w § 9 projektu przewidziano możliwość zgłoszenia przez mediatora sądowego, za pośrednictwem systemu teleinformatycznego, że jest on nieaktywny, czyli że nie prowadzi mediacji. Informacja o nieprowadzeniu mediacji będzie ujawniana obok danych mediatora sądowego. W każdym czasie mediator sądowy będzie mógł złożyć wniosek o zmianę swojego </w:t>
      </w:r>
      <w:r>
        <w:t>„</w:t>
      </w:r>
      <w:r w:rsidRPr="00E43013">
        <w:t>statusu</w:t>
      </w:r>
      <w:r>
        <w:t>”</w:t>
      </w:r>
      <w:r w:rsidRPr="00E43013">
        <w:t xml:space="preserve"> i zamieszczenie w Rejestrze informacji, że prowadzi mediacje.</w:t>
      </w:r>
    </w:p>
    <w:p w14:paraId="1C36940D" w14:textId="77777777" w:rsidR="00E43013" w:rsidRPr="00E43013" w:rsidRDefault="00E43013" w:rsidP="00E43013">
      <w:pPr>
        <w:pStyle w:val="NIEARTTEKSTtekstnieartykuowanynppodstprawnarozplubpreambua"/>
      </w:pPr>
      <w:r w:rsidRPr="00E43013">
        <w:t>W § 10 projektu przewidziano kryteria wyszukiwania mediatorów w Rejestrze. Przewidziano również kryteria wyszukiwania instytucji szkolących w zakresie mediacji.</w:t>
      </w:r>
    </w:p>
    <w:p w14:paraId="74DA68FF" w14:textId="77777777" w:rsidR="00E43013" w:rsidRPr="00E43013" w:rsidRDefault="00E43013" w:rsidP="00E43013">
      <w:pPr>
        <w:pStyle w:val="NIEARTTEKSTtekstnieartykuowanynppodstprawnarozplubpreambua"/>
      </w:pPr>
      <w:r w:rsidRPr="00E43013">
        <w:t>Projekt przewiduje również możliwość wydruku treści wpisu wskazanego mediatora sądowego (§ 11 projektu) lub instytucji szkolącej w zakresie mediacji. Wydruki z systemu nie będą posiadać mocy dokumentów urzędowych.</w:t>
      </w:r>
    </w:p>
    <w:p w14:paraId="5EF7D49C" w14:textId="77777777" w:rsidR="00A119E2" w:rsidRPr="00A119E2" w:rsidRDefault="00A119E2" w:rsidP="00A119E2">
      <w:pPr>
        <w:pStyle w:val="NIEARTTEKSTtekstnieartykuowanynppodstprawnarozplubpreambua"/>
      </w:pPr>
      <w:r w:rsidRPr="00A119E2">
        <w:lastRenderedPageBreak/>
        <w:t>Proponuje się, aby projektowane rozporządzenie weszło w życie z dniem 1 stycznia 2027 r. Termin ten jest skorelowany z terminem wejścia w życie przepisu zawierającego upoważnienie ustawowe do wydania rozporządzenia.</w:t>
      </w:r>
    </w:p>
    <w:p w14:paraId="64A449C0" w14:textId="77777777" w:rsidR="00A119E2" w:rsidRPr="00A119E2" w:rsidRDefault="00A119E2" w:rsidP="00A119E2">
      <w:pPr>
        <w:pStyle w:val="NIEARTTEKSTtekstnieartykuowanynppodstprawnarozplubpreambua"/>
      </w:pPr>
      <w:r w:rsidRPr="00A119E2">
        <w:t>Nie ma możliwości zastosowania alternatywnych w stosunku do projektowanych rozwiązań środków, które umożliwiałyby osiągnięcie zamierzonego celu.</w:t>
      </w:r>
    </w:p>
    <w:p w14:paraId="0DAE25DE" w14:textId="77777777" w:rsidR="00A119E2" w:rsidRPr="00A119E2" w:rsidRDefault="00A119E2" w:rsidP="00A119E2">
      <w:pPr>
        <w:pStyle w:val="NIEARTTEKSTtekstnieartykuowanynppodstprawnarozplubpreambua"/>
      </w:pPr>
      <w:r w:rsidRPr="00A119E2">
        <w:t>Przedmiot projektowanej regulacji nie jest objęty prawem Unii Europejskiej.</w:t>
      </w:r>
    </w:p>
    <w:p w14:paraId="6CEF6454" w14:textId="77777777" w:rsidR="00A119E2" w:rsidRPr="00A119E2" w:rsidRDefault="00A119E2" w:rsidP="00A119E2">
      <w:pPr>
        <w:pStyle w:val="NIEARTTEKSTtekstnieartykuowanynppodstprawnarozplubpreambua"/>
      </w:pPr>
      <w:r w:rsidRPr="00A119E2">
        <w:t>Projekt nie zawiera przepisów technicznych, zatem nie podlega notyfikacji zgodnie z rozporządzeniem Rady Ministrów z dnia 23 grudnia 2002 r. w sprawie sposobu funkcjonowania krajowego systemu notyfikacji norm i aktów prawnych (Dz. U. poz. 2039 oraz z 2004 r. poz. 597).</w:t>
      </w:r>
    </w:p>
    <w:p w14:paraId="36E8CA93" w14:textId="77777777" w:rsidR="00A119E2" w:rsidRPr="00A119E2" w:rsidRDefault="00A119E2" w:rsidP="00A119E2">
      <w:pPr>
        <w:pStyle w:val="NIEARTTEKSTtekstnieartykuowanynppodstprawnarozplubpreambua"/>
      </w:pPr>
      <w:r w:rsidRPr="00A119E2">
        <w:t>Projekt nie wymaga przedstawienia właściwym organom i instytucjom Unii Europejskiej, w tym Europejskiemu Bankowi Centralnemu, w celu uzyskania opinii, dokonania powiadomienia, konsultacji albo uzgodnienia.</w:t>
      </w:r>
    </w:p>
    <w:p w14:paraId="1BB03E26" w14:textId="77777777" w:rsidR="00A119E2" w:rsidRPr="00A119E2" w:rsidRDefault="00A119E2" w:rsidP="00A119E2">
      <w:pPr>
        <w:pStyle w:val="NIEARTTEKSTtekstnieartykuowanynppodstprawnarozplubpreambua"/>
      </w:pPr>
      <w:r w:rsidRPr="00A119E2">
        <w:t>Projekt nie określa zasad podejmowania, wykonywania lub zakończenia działalności gospodarczej.</w:t>
      </w:r>
    </w:p>
    <w:p w14:paraId="534CFBFD" w14:textId="77777777" w:rsidR="00A119E2" w:rsidRPr="00A119E2" w:rsidRDefault="00A119E2" w:rsidP="00A119E2">
      <w:pPr>
        <w:pStyle w:val="NIEARTTEKSTtekstnieartykuowanynppodstprawnarozplubpreambua"/>
      </w:pPr>
      <w:r w:rsidRPr="00A119E2">
        <w:t>Projekt nie podlegał dokonaniu oceny OSR przez koordynatora OSR w trybie § 32 uchwały nr 190 Rady Ministrów z dnia 29 października 2013 r. – Regulamin pracy Rady Ministrów (M.P. z 2024 r. poz. 806 oraz z 2025 r. poz. 408).</w:t>
      </w:r>
    </w:p>
    <w:p w14:paraId="4B6BFDFD" w14:textId="77777777" w:rsidR="00A119E2" w:rsidRPr="00A119E2" w:rsidRDefault="00A119E2" w:rsidP="00A119E2">
      <w:pPr>
        <w:pStyle w:val="NIEARTTEKSTtekstnieartykuowanynppodstprawnarozplubpreambua"/>
      </w:pPr>
      <w:r w:rsidRPr="00A119E2">
        <w:t>Zgodnie z § 52 uchwały nr 190 Rady Ministrów z dnia 29 października 2013 r. – Regulamin pracy Rady Ministrów (M.P. z 2024 r. poz. 806 oraz z 2025 r. poz. 408) oraz stosownie do wymogów art. 5 ustawy z dnia 7 lipca 2005 r. o działalności lobbingowej w procesie stanowienia prawa (Dz. U. z 2025 r. poz. 677) projekt zostanie udostępniony w Biuletynie Informacji Publicznej na stronie podmiotowej Rządowego Centrum Legislacji, w serwisie Rządowy Proces Legislacyjny.</w:t>
      </w:r>
    </w:p>
    <w:p w14:paraId="1431706E" w14:textId="237284AA" w:rsidR="00261A16" w:rsidRPr="00737F6A" w:rsidRDefault="00A119E2" w:rsidP="00A119E2">
      <w:pPr>
        <w:pStyle w:val="NIEARTTEKSTtekstnieartykuowanynppodstprawnarozplubpreambua"/>
      </w:pPr>
      <w:r w:rsidRPr="00A119E2">
        <w:t>W celu spełnienia wymogów, o których mowa w § 42 ust. 1 uchwały nr 190 Rady Ministrów z dnia 29 października 2013 r. – Regulamin pracy Rady Ministrów, projekt zostanie skierowany do koordynatora OSR.</w:t>
      </w:r>
    </w:p>
    <w:sectPr w:rsidR="00261A16" w:rsidRPr="00737F6A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D17BD6" w14:textId="77777777" w:rsidR="00471D91" w:rsidRDefault="00471D91">
      <w:r>
        <w:separator/>
      </w:r>
    </w:p>
  </w:endnote>
  <w:endnote w:type="continuationSeparator" w:id="0">
    <w:p w14:paraId="6596212B" w14:textId="77777777" w:rsidR="00471D91" w:rsidRDefault="00471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5D0BCA" w14:textId="77777777" w:rsidR="00471D91" w:rsidRDefault="00471D91">
      <w:r>
        <w:separator/>
      </w:r>
    </w:p>
  </w:footnote>
  <w:footnote w:type="continuationSeparator" w:id="0">
    <w:p w14:paraId="0A2814B1" w14:textId="77777777" w:rsidR="00471D91" w:rsidRDefault="00471D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D2BF8" w14:textId="77777777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44DE6"/>
    <w:multiLevelType w:val="hybridMultilevel"/>
    <w:tmpl w:val="19F8BDBE"/>
    <w:lvl w:ilvl="0" w:tplc="9F980FEC">
      <w:start w:val="1"/>
      <w:numFmt w:val="decimal"/>
      <w:lvlText w:val="%1)"/>
      <w:lvlJc w:val="left"/>
      <w:pPr>
        <w:ind w:left="870" w:hanging="510"/>
      </w:pPr>
      <w:rPr>
        <w:rFonts w:ascii="Times" w:hAnsi="Times" w:cs="Times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2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5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6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7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0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5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6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8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3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6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7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070111571">
    <w:abstractNumId w:val="24"/>
  </w:num>
  <w:num w:numId="2" w16cid:durableId="2133554288">
    <w:abstractNumId w:val="24"/>
  </w:num>
  <w:num w:numId="3" w16cid:durableId="1072502860">
    <w:abstractNumId w:val="19"/>
  </w:num>
  <w:num w:numId="4" w16cid:durableId="1494226581">
    <w:abstractNumId w:val="19"/>
  </w:num>
  <w:num w:numId="5" w16cid:durableId="1324429680">
    <w:abstractNumId w:val="36"/>
  </w:num>
  <w:num w:numId="6" w16cid:durableId="1085029301">
    <w:abstractNumId w:val="32"/>
  </w:num>
  <w:num w:numId="7" w16cid:durableId="1258488669">
    <w:abstractNumId w:val="36"/>
  </w:num>
  <w:num w:numId="8" w16cid:durableId="2144957204">
    <w:abstractNumId w:val="32"/>
  </w:num>
  <w:num w:numId="9" w16cid:durableId="1752390186">
    <w:abstractNumId w:val="36"/>
  </w:num>
  <w:num w:numId="10" w16cid:durableId="623998784">
    <w:abstractNumId w:val="32"/>
  </w:num>
  <w:num w:numId="11" w16cid:durableId="1213926182">
    <w:abstractNumId w:val="15"/>
  </w:num>
  <w:num w:numId="12" w16cid:durableId="631403229">
    <w:abstractNumId w:val="11"/>
  </w:num>
  <w:num w:numId="13" w16cid:durableId="1199782081">
    <w:abstractNumId w:val="16"/>
  </w:num>
  <w:num w:numId="14" w16cid:durableId="535392631">
    <w:abstractNumId w:val="27"/>
  </w:num>
  <w:num w:numId="15" w16cid:durableId="1723363437">
    <w:abstractNumId w:val="15"/>
  </w:num>
  <w:num w:numId="16" w16cid:durableId="1439445872">
    <w:abstractNumId w:val="17"/>
  </w:num>
  <w:num w:numId="17" w16cid:durableId="1356689194">
    <w:abstractNumId w:val="8"/>
  </w:num>
  <w:num w:numId="18" w16cid:durableId="1205287094">
    <w:abstractNumId w:val="3"/>
  </w:num>
  <w:num w:numId="19" w16cid:durableId="553588648">
    <w:abstractNumId w:val="2"/>
  </w:num>
  <w:num w:numId="20" w16cid:durableId="1804998456">
    <w:abstractNumId w:val="1"/>
  </w:num>
  <w:num w:numId="21" w16cid:durableId="1195537636">
    <w:abstractNumId w:val="0"/>
  </w:num>
  <w:num w:numId="22" w16cid:durableId="2133740779">
    <w:abstractNumId w:val="9"/>
  </w:num>
  <w:num w:numId="23" w16cid:durableId="1587153179">
    <w:abstractNumId w:val="7"/>
  </w:num>
  <w:num w:numId="24" w16cid:durableId="973369655">
    <w:abstractNumId w:val="6"/>
  </w:num>
  <w:num w:numId="25" w16cid:durableId="1110010646">
    <w:abstractNumId w:val="5"/>
  </w:num>
  <w:num w:numId="26" w16cid:durableId="767848993">
    <w:abstractNumId w:val="4"/>
  </w:num>
  <w:num w:numId="27" w16cid:durableId="1899900558">
    <w:abstractNumId w:val="34"/>
  </w:num>
  <w:num w:numId="28" w16cid:durableId="1438792901">
    <w:abstractNumId w:val="26"/>
  </w:num>
  <w:num w:numId="29" w16cid:durableId="1331176025">
    <w:abstractNumId w:val="37"/>
  </w:num>
  <w:num w:numId="30" w16cid:durableId="1272586545">
    <w:abstractNumId w:val="33"/>
  </w:num>
  <w:num w:numId="31" w16cid:durableId="1663124322">
    <w:abstractNumId w:val="20"/>
  </w:num>
  <w:num w:numId="32" w16cid:durableId="1949849226">
    <w:abstractNumId w:val="12"/>
  </w:num>
  <w:num w:numId="33" w16cid:durableId="217132513">
    <w:abstractNumId w:val="31"/>
  </w:num>
  <w:num w:numId="34" w16cid:durableId="1361785153">
    <w:abstractNumId w:val="21"/>
  </w:num>
  <w:num w:numId="35" w16cid:durableId="1923443877">
    <w:abstractNumId w:val="18"/>
  </w:num>
  <w:num w:numId="36" w16cid:durableId="1671981831">
    <w:abstractNumId w:val="23"/>
  </w:num>
  <w:num w:numId="37" w16cid:durableId="2069181623">
    <w:abstractNumId w:val="28"/>
  </w:num>
  <w:num w:numId="38" w16cid:durableId="1119371784">
    <w:abstractNumId w:val="25"/>
  </w:num>
  <w:num w:numId="39" w16cid:durableId="50354120">
    <w:abstractNumId w:val="14"/>
  </w:num>
  <w:num w:numId="40" w16cid:durableId="157356033">
    <w:abstractNumId w:val="30"/>
  </w:num>
  <w:num w:numId="41" w16cid:durableId="1049037874">
    <w:abstractNumId w:val="29"/>
  </w:num>
  <w:num w:numId="42" w16cid:durableId="394007244">
    <w:abstractNumId w:val="22"/>
  </w:num>
  <w:num w:numId="43" w16cid:durableId="391579586">
    <w:abstractNumId w:val="35"/>
  </w:num>
  <w:num w:numId="44" w16cid:durableId="31349017">
    <w:abstractNumId w:val="13"/>
  </w:num>
  <w:num w:numId="45" w16cid:durableId="700784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013"/>
    <w:rsid w:val="000012DA"/>
    <w:rsid w:val="0000246E"/>
    <w:rsid w:val="00003862"/>
    <w:rsid w:val="00012A35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1237"/>
    <w:rsid w:val="001329AC"/>
    <w:rsid w:val="00134CA0"/>
    <w:rsid w:val="0014026F"/>
    <w:rsid w:val="00147A47"/>
    <w:rsid w:val="00147AA1"/>
    <w:rsid w:val="001520CF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C1832"/>
    <w:rsid w:val="001C188C"/>
    <w:rsid w:val="001D1783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114EF"/>
    <w:rsid w:val="002166AD"/>
    <w:rsid w:val="00217871"/>
    <w:rsid w:val="00221ED8"/>
    <w:rsid w:val="002231EA"/>
    <w:rsid w:val="00223FDF"/>
    <w:rsid w:val="002279C0"/>
    <w:rsid w:val="0023727E"/>
    <w:rsid w:val="00242081"/>
    <w:rsid w:val="00243777"/>
    <w:rsid w:val="002441CD"/>
    <w:rsid w:val="002501A3"/>
    <w:rsid w:val="0025166C"/>
    <w:rsid w:val="002555D4"/>
    <w:rsid w:val="00261A16"/>
    <w:rsid w:val="00263522"/>
    <w:rsid w:val="00264EC6"/>
    <w:rsid w:val="00271013"/>
    <w:rsid w:val="00273FE4"/>
    <w:rsid w:val="002765B4"/>
    <w:rsid w:val="00276A94"/>
    <w:rsid w:val="0029405D"/>
    <w:rsid w:val="00294FA6"/>
    <w:rsid w:val="00295A6F"/>
    <w:rsid w:val="002A20C4"/>
    <w:rsid w:val="002A570F"/>
    <w:rsid w:val="002A6ED0"/>
    <w:rsid w:val="002A7292"/>
    <w:rsid w:val="002A7358"/>
    <w:rsid w:val="002A7902"/>
    <w:rsid w:val="002B0F6B"/>
    <w:rsid w:val="002B23B8"/>
    <w:rsid w:val="002B4429"/>
    <w:rsid w:val="002B68A6"/>
    <w:rsid w:val="002B7FAF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8F9"/>
    <w:rsid w:val="00330BAF"/>
    <w:rsid w:val="00334E3A"/>
    <w:rsid w:val="003361DD"/>
    <w:rsid w:val="00341A6A"/>
    <w:rsid w:val="00345B9C"/>
    <w:rsid w:val="00352DAE"/>
    <w:rsid w:val="00354EB9"/>
    <w:rsid w:val="003602AE"/>
    <w:rsid w:val="00360929"/>
    <w:rsid w:val="003647D5"/>
    <w:rsid w:val="003674B0"/>
    <w:rsid w:val="0037727C"/>
    <w:rsid w:val="00377E70"/>
    <w:rsid w:val="00380904"/>
    <w:rsid w:val="003817D3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D0FDF"/>
    <w:rsid w:val="003D12C2"/>
    <w:rsid w:val="003D31B9"/>
    <w:rsid w:val="003D3867"/>
    <w:rsid w:val="003E0D1A"/>
    <w:rsid w:val="003E2DA3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465E"/>
    <w:rsid w:val="00424DF7"/>
    <w:rsid w:val="00432B76"/>
    <w:rsid w:val="00434D01"/>
    <w:rsid w:val="00435D26"/>
    <w:rsid w:val="00440C99"/>
    <w:rsid w:val="0044175C"/>
    <w:rsid w:val="00445F4D"/>
    <w:rsid w:val="004504C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1D91"/>
    <w:rsid w:val="0047207C"/>
    <w:rsid w:val="00472CD6"/>
    <w:rsid w:val="00474E3C"/>
    <w:rsid w:val="004808CF"/>
    <w:rsid w:val="00480A58"/>
    <w:rsid w:val="00482151"/>
    <w:rsid w:val="00485FAD"/>
    <w:rsid w:val="00487AED"/>
    <w:rsid w:val="00491EDF"/>
    <w:rsid w:val="00492A3F"/>
    <w:rsid w:val="00494F62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7FD9"/>
    <w:rsid w:val="004E1324"/>
    <w:rsid w:val="004E19A5"/>
    <w:rsid w:val="004E37E5"/>
    <w:rsid w:val="004E3FDB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63AB"/>
    <w:rsid w:val="00544EF4"/>
    <w:rsid w:val="00545E53"/>
    <w:rsid w:val="005479D9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7024"/>
    <w:rsid w:val="005A0274"/>
    <w:rsid w:val="005A095C"/>
    <w:rsid w:val="005A669D"/>
    <w:rsid w:val="005A75D8"/>
    <w:rsid w:val="005B713E"/>
    <w:rsid w:val="005B7BAE"/>
    <w:rsid w:val="005C03B6"/>
    <w:rsid w:val="005C348E"/>
    <w:rsid w:val="005C68E1"/>
    <w:rsid w:val="005D3763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5772"/>
    <w:rsid w:val="00621256"/>
    <w:rsid w:val="00621FCC"/>
    <w:rsid w:val="00622E4B"/>
    <w:rsid w:val="006333DA"/>
    <w:rsid w:val="00635134"/>
    <w:rsid w:val="006356E2"/>
    <w:rsid w:val="00642A65"/>
    <w:rsid w:val="00645DCE"/>
    <w:rsid w:val="006465AC"/>
    <w:rsid w:val="006465BF"/>
    <w:rsid w:val="00653B22"/>
    <w:rsid w:val="00657BF4"/>
    <w:rsid w:val="006603FB"/>
    <w:rsid w:val="006608DF"/>
    <w:rsid w:val="006623AC"/>
    <w:rsid w:val="006678AF"/>
    <w:rsid w:val="006701EF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69FA"/>
    <w:rsid w:val="006A35D5"/>
    <w:rsid w:val="006A748A"/>
    <w:rsid w:val="006C419E"/>
    <w:rsid w:val="006C4A31"/>
    <w:rsid w:val="006C5AC2"/>
    <w:rsid w:val="006C6AFB"/>
    <w:rsid w:val="006D2735"/>
    <w:rsid w:val="006D45B2"/>
    <w:rsid w:val="006E0FCC"/>
    <w:rsid w:val="006E1E96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6DC2"/>
    <w:rsid w:val="00780122"/>
    <w:rsid w:val="0078214B"/>
    <w:rsid w:val="0078498A"/>
    <w:rsid w:val="007878FE"/>
    <w:rsid w:val="00792207"/>
    <w:rsid w:val="00792B64"/>
    <w:rsid w:val="00792E29"/>
    <w:rsid w:val="0079379A"/>
    <w:rsid w:val="00794953"/>
    <w:rsid w:val="0079503F"/>
    <w:rsid w:val="007A1F2F"/>
    <w:rsid w:val="007A2A5C"/>
    <w:rsid w:val="007A5150"/>
    <w:rsid w:val="007A5373"/>
    <w:rsid w:val="007A789F"/>
    <w:rsid w:val="007B75BC"/>
    <w:rsid w:val="007C0BD6"/>
    <w:rsid w:val="007C3806"/>
    <w:rsid w:val="007C5BB7"/>
    <w:rsid w:val="007D07D5"/>
    <w:rsid w:val="007D1C64"/>
    <w:rsid w:val="007D32DD"/>
    <w:rsid w:val="007D6DCE"/>
    <w:rsid w:val="007D72C4"/>
    <w:rsid w:val="007E2CFE"/>
    <w:rsid w:val="007E59C9"/>
    <w:rsid w:val="007F0072"/>
    <w:rsid w:val="007F2EB6"/>
    <w:rsid w:val="007F54C3"/>
    <w:rsid w:val="00802949"/>
    <w:rsid w:val="0080301E"/>
    <w:rsid w:val="0080365F"/>
    <w:rsid w:val="00812BE5"/>
    <w:rsid w:val="00817429"/>
    <w:rsid w:val="00821514"/>
    <w:rsid w:val="00821E35"/>
    <w:rsid w:val="00824591"/>
    <w:rsid w:val="00824AED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6272"/>
    <w:rsid w:val="008563FF"/>
    <w:rsid w:val="0086018B"/>
    <w:rsid w:val="008611DD"/>
    <w:rsid w:val="008620DE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C76C1"/>
    <w:rsid w:val="008D2434"/>
    <w:rsid w:val="008E171D"/>
    <w:rsid w:val="008E2785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84E03"/>
    <w:rsid w:val="00987E85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E3E77"/>
    <w:rsid w:val="009E3FAB"/>
    <w:rsid w:val="009E5B3F"/>
    <w:rsid w:val="009E7D90"/>
    <w:rsid w:val="009F1AB0"/>
    <w:rsid w:val="009F501D"/>
    <w:rsid w:val="00A039D5"/>
    <w:rsid w:val="00A046AD"/>
    <w:rsid w:val="00A079C1"/>
    <w:rsid w:val="00A119E2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E70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2932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642FC"/>
    <w:rsid w:val="00B64D26"/>
    <w:rsid w:val="00B64FBB"/>
    <w:rsid w:val="00B70E22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363F"/>
    <w:rsid w:val="00C236C8"/>
    <w:rsid w:val="00C260B1"/>
    <w:rsid w:val="00C26E56"/>
    <w:rsid w:val="00C31406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E31A6"/>
    <w:rsid w:val="00CF09AA"/>
    <w:rsid w:val="00CF4813"/>
    <w:rsid w:val="00CF5233"/>
    <w:rsid w:val="00D029B8"/>
    <w:rsid w:val="00D02F60"/>
    <w:rsid w:val="00D0464E"/>
    <w:rsid w:val="00D04A96"/>
    <w:rsid w:val="00D07A7B"/>
    <w:rsid w:val="00D10E06"/>
    <w:rsid w:val="00D15197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402FB"/>
    <w:rsid w:val="00D47D7A"/>
    <w:rsid w:val="00D50ABD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3F79"/>
    <w:rsid w:val="00E34A35"/>
    <w:rsid w:val="00E37C2F"/>
    <w:rsid w:val="00E41C28"/>
    <w:rsid w:val="00E43013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91FAE"/>
    <w:rsid w:val="00E96E3F"/>
    <w:rsid w:val="00EA270C"/>
    <w:rsid w:val="00EA4974"/>
    <w:rsid w:val="00EA532E"/>
    <w:rsid w:val="00EB06D9"/>
    <w:rsid w:val="00EB192B"/>
    <w:rsid w:val="00EB19ED"/>
    <w:rsid w:val="00EB1CAB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F0B96"/>
    <w:rsid w:val="00EF3486"/>
    <w:rsid w:val="00EF47AF"/>
    <w:rsid w:val="00EF53B6"/>
    <w:rsid w:val="00F00B73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F91"/>
    <w:rsid w:val="00FB121C"/>
    <w:rsid w:val="00FB1CDD"/>
    <w:rsid w:val="00FB1FBF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211B56"/>
  <w15:docId w15:val="{726EE16D-7F65-455C-92CC-19C377F9F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locked="1" w:qFormat="1"/>
    <w:lsdException w:name="annotation text" w:semiHidden="1" w:uiPriority="0"/>
    <w:lsdException w:name="index heading" w:semiHidden="1"/>
    <w:lsdException w:name="caption" w:semiHidden="1" w:unhideWhenUsed="1" w:qFormat="1"/>
    <w:lsdException w:name="table of figures" w:semiHidden="1"/>
    <w:lsdException w:name="envelope address" w:semiHidden="1"/>
    <w:lsdException w:name="envelope return" w:semiHidden="1"/>
    <w:lsdException w:name="annotation reference" w:semiHidden="1" w:uiPriority="0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/>
    <w:lsdException w:name="Closing" w:semiHidden="1"/>
    <w:lsdException w:name="Signature" w:semiHidden="1"/>
    <w:lsdException w:name="Default Paragraph Font" w:uiPriority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qFormat="1"/>
    <w:lsdException w:name="Emphasis" w:semiHidden="1"/>
    <w:lsdException w:name="Document Map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iPriority="0" w:unhideWhenUsed="1"/>
    <w:lsdException w:name="annotation subject" w:semiHidden="1" w:uiPriority="0"/>
    <w:lsdException w:name="Outline List 1" w:locked="1" w:uiPriority="0"/>
    <w:lsdException w:name="Outline List 2" w:locked="1" w:uiPriority="0"/>
    <w:lsdException w:name="Outline List 3" w:uiPriority="0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anna.hablewska\AppData\Roaming\Microsoft\Templates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1047E36-43CD-4CD4-B6A6-DE01A0EE6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0</TotalTime>
  <Pages>5</Pages>
  <Words>1237</Words>
  <Characters>7427</Characters>
  <Application>Microsoft Office Word</Application>
  <DocSecurity>0</DocSecurity>
  <Lines>61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8647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Pałka Zbigniew  (DL)</dc:creator>
  <cp:lastModifiedBy>Hablewska Joanna  (DL)</cp:lastModifiedBy>
  <cp:revision>2</cp:revision>
  <cp:lastPrinted>2012-04-23T06:39:00Z</cp:lastPrinted>
  <dcterms:created xsi:type="dcterms:W3CDTF">2026-02-06T11:51:00Z</dcterms:created>
  <dcterms:modified xsi:type="dcterms:W3CDTF">2026-02-06T11:51:00Z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